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6635BF09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8A1967">
        <w:rPr>
          <w:rFonts w:ascii="Arial" w:hAnsi="Arial" w:cs="Arial"/>
          <w:b/>
          <w:color w:val="auto"/>
          <w:sz w:val="24"/>
          <w:szCs w:val="24"/>
        </w:rPr>
        <w:t xml:space="preserve">V </w:t>
      </w:r>
      <w:r>
        <w:rPr>
          <w:rFonts w:ascii="Arial" w:hAnsi="Arial" w:cs="Arial"/>
          <w:b/>
          <w:color w:val="auto"/>
          <w:sz w:val="24"/>
          <w:szCs w:val="24"/>
        </w:rPr>
        <w:t xml:space="preserve">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44551D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 Ministerstwo Sportu i Turystyki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C25998" w:rsidR="00CA516B" w:rsidRPr="001860C8" w:rsidRDefault="001860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444C24" w:rsidRPr="002B50C0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1860C8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Całkowity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2A5A20D1" w:rsidR="00444C24" w:rsidRPr="001860C8" w:rsidRDefault="008C084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7330877" w:rsidR="00907F6D" w:rsidRPr="00141A92" w:rsidRDefault="00B8700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</w:t>
            </w:r>
            <w:r w:rsidR="00B80B9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78</w:t>
            </w:r>
            <w:r w:rsidR="00FB4A08" w:rsidRPr="00FB4A0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24AFE76F" w:rsidR="00907F6D" w:rsidRPr="00D67B6B" w:rsidRDefault="00D67B6B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D67B6B">
              <w:rPr>
                <w:rFonts w:ascii="Arial" w:hAnsi="Arial" w:cs="Arial"/>
                <w:sz w:val="18"/>
                <w:szCs w:val="20"/>
              </w:rPr>
              <w:t>1.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700D">
              <w:rPr>
                <w:rFonts w:ascii="Arial" w:hAnsi="Arial" w:cs="Arial"/>
                <w:sz w:val="18"/>
                <w:szCs w:val="20"/>
              </w:rPr>
              <w:t>14,92</w:t>
            </w:r>
            <w:r w:rsidR="005530A0" w:rsidRPr="00D67B6B">
              <w:rPr>
                <w:rFonts w:ascii="Arial" w:hAnsi="Arial" w:cs="Arial"/>
                <w:sz w:val="18"/>
                <w:szCs w:val="20"/>
              </w:rPr>
              <w:t>%</w:t>
            </w:r>
            <w:r w:rsidRPr="00D67B6B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>
              <w:rPr>
                <w:rFonts w:ascii="Arial" w:hAnsi="Arial" w:cs="Arial"/>
                <w:sz w:val="18"/>
                <w:szCs w:val="20"/>
              </w:rPr>
              <w:t>0,22%; 3. -</w:t>
            </w:r>
          </w:p>
        </w:tc>
        <w:tc>
          <w:tcPr>
            <w:tcW w:w="3402" w:type="dxa"/>
          </w:tcPr>
          <w:p w14:paraId="65BB31D3" w14:textId="1138C4CE" w:rsidR="00907F6D" w:rsidRPr="00FB4A08" w:rsidRDefault="00B8700D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  <w:r w:rsidR="003D099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98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3F381A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, niemożliwe jest wyodrębnienie wartości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dla poszczególnych kamieni</w:t>
            </w:r>
          </w:p>
        </w:tc>
        <w:tc>
          <w:tcPr>
            <w:tcW w:w="1289" w:type="dxa"/>
          </w:tcPr>
          <w:p w14:paraId="3FE123AF" w14:textId="7DC109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02-2022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3F381A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26B8464B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03-2021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141A92" w:rsidRDefault="00530AD8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525F3533" w14:textId="77777777" w:rsidTr="003F381A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459986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3F381A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14726C49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09-2021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3F381A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7C635768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631DEC9D" w:rsidR="006A60AA" w:rsidRPr="00141A92" w:rsidRDefault="00E9644F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2B2D6D7C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002EBE92" w:rsidR="002F785D" w:rsidRDefault="00C669B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346F10DA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MSiT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01FE9" w:rsidRDefault="002F785D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001FE9" w:rsidRDefault="005D57D1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001FE9" w:rsidRDefault="00B704B7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322614" w:rsidRPr="002B50C0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8C0849">
        <w:tc>
          <w:tcPr>
            <w:tcW w:w="2552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166FD2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D57D1" w:rsidRPr="002B50C0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166FD2" w:rsidRPr="002B50C0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166FD2" w:rsidRPr="002B50C0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166FD2" w:rsidRPr="002B50C0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DB57AB" w:rsidRPr="002B50C0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166FD2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6334BF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333F0181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860C8">
        <w:rPr>
          <w:rFonts w:ascii="Arial" w:hAnsi="Arial" w:cs="Arial"/>
          <w:sz w:val="18"/>
          <w:szCs w:val="18"/>
        </w:rPr>
        <w:t>n/d</w:t>
      </w:r>
    </w:p>
    <w:p w14:paraId="5C84DCDE" w14:textId="1329809E" w:rsidR="00444C24" w:rsidRPr="008C0849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1860C8">
        <w:rPr>
          <w:rFonts w:ascii="Arial" w:hAnsi="Arial" w:cs="Arial"/>
          <w:sz w:val="18"/>
          <w:szCs w:val="18"/>
        </w:rPr>
        <w:t xml:space="preserve"> </w:t>
      </w:r>
    </w:p>
    <w:p w14:paraId="0FA2F07F" w14:textId="3DD4DC4E" w:rsidR="00BB059E" w:rsidRPr="00141A92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166FD2" w:rsidRPr="00346588">
        <w:rPr>
          <w:rFonts w:cstheme="minorHAnsi"/>
          <w:sz w:val="24"/>
          <w:szCs w:val="24"/>
        </w:rPr>
        <w:t xml:space="preserve">, DODiRK,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700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10A9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3F2F91"/>
    <w:rsid w:val="003F381A"/>
    <w:rsid w:val="00405EA4"/>
    <w:rsid w:val="0041034F"/>
    <w:rsid w:val="004118A3"/>
    <w:rsid w:val="00423A26"/>
    <w:rsid w:val="00425046"/>
    <w:rsid w:val="004350B8"/>
    <w:rsid w:val="0044214F"/>
    <w:rsid w:val="00444AAB"/>
    <w:rsid w:val="00444C24"/>
    <w:rsid w:val="00450089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D6"/>
    <w:rsid w:val="00544DFE"/>
    <w:rsid w:val="005530A0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95E"/>
    <w:rsid w:val="0077418F"/>
    <w:rsid w:val="00775C44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30B70"/>
    <w:rsid w:val="00840749"/>
    <w:rsid w:val="0087452F"/>
    <w:rsid w:val="00875528"/>
    <w:rsid w:val="00884686"/>
    <w:rsid w:val="008A1967"/>
    <w:rsid w:val="008A332F"/>
    <w:rsid w:val="008A52F6"/>
    <w:rsid w:val="008C0849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280B"/>
    <w:rsid w:val="00C1106C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8C7A-8656-458E-A1B7-E222DD98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2020-01-13T15:02:00Z</dcterms:created>
  <dcterms:modified xsi:type="dcterms:W3CDTF">2020-01-14T13:05:00Z</dcterms:modified>
</cp:coreProperties>
</file>